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FB" w:rsidRPr="00203CFB" w:rsidRDefault="00203CFB" w:rsidP="00203CFB">
      <w:pPr>
        <w:spacing w:after="0" w:line="330" w:lineRule="atLeast"/>
        <w:jc w:val="right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    Warszawa, dnia 5 sierpnia 2015 r.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 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right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pl-PL"/>
        </w:rPr>
        <w:t>PAŃSTWOWA</w:t>
      </w:r>
      <w:r w:rsidRPr="00203CFB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pl-PL"/>
        </w:rPr>
        <w:br/>
        <w:t>KOMISJA WYBORCZA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ZPOW-503-44/15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center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pl-PL"/>
        </w:rPr>
        <w:t>Informacja</w:t>
      </w:r>
      <w:r w:rsidRPr="00203CFB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pl-PL"/>
        </w:rPr>
        <w:br/>
        <w:t>o uprawnieniach wyborców niepełnosprawnych</w:t>
      </w:r>
      <w:r w:rsidRPr="00203CFB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pl-PL"/>
        </w:rPr>
        <w:br/>
        <w:t xml:space="preserve">w wyborach do Sejmu Rzeczypospolitej Polskiej i do Senatu Rzeczypospolitej Polskiej zarządzonych na dzień 25 października 2015 r. 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Państwowa Komisja Wyborcza, w związku z wyborami do Sejmu Rzeczypospolitej Polskiej i do Senatu Rzeczypospolitej Polskiej, zarządzonymi na dzień 25 października 2015 r., informuje o uprawnieniach wyborców niepełnosprawnych, przewidzianych w przepisach ustawy z dnia 5 stycznia 2011 r. — Kodeks wyborczy (Dz. U. Nr 21, poz. 112, z </w:t>
      </w:r>
      <w:proofErr w:type="spellStart"/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. zm.).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Wyborcy niepełnosprawni biorą udział w wyborach do Sejmu Rzeczypospolitej Polskiej i do Senatu Rzeczypospolitej Polskiej na takich samych zasadach jak pozostali wyborcy, jednakże przysługują im poniższe uprawnienia.</w:t>
      </w:r>
    </w:p>
    <w:p w:rsidR="00203CFB" w:rsidRPr="00203CFB" w:rsidRDefault="00203CFB" w:rsidP="00203CFB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pl-PL"/>
        </w:rPr>
        <w:t>I.              Prawo do uzyskiwania informacji o wyborach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Wyborca niepełnosprawny ma prawo do uzyskiwania informacji o: właściwym dla siebie obwodzie głosowania, lokalach obwodowych komisji wyborczych znajdujących się najbliżej miejsca zamieszkania wyborcy, w tym o lokalach przystosowanych do potrzeb osób niepełnosprawnych, warunkach dopisania wyborcy do spisu wyborców w wybranym obwodzie głosowania, terminie wyborów oraz godzinach głosowania, komitetach wyborczych biorących udział w wyborach oraz zarejestrowanych listach kandydatów na posłów i kandydatach na senatora, a także o warunkach oraz formach głosowania.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Informacje, o których mowa wyżej, są podawane do publicznej wiadomości poprzez umieszczenie w Biuletynie Informacji Publicznej oraz w sposób zwyczajowo przyjęty w danej gminie.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Informacje te są także przekazywane przez wójta (burmistrza, prezydenta miasta) wyborcy niepełnosprawnemu, na jego wniosek, telefonicznie lub w drukowanych materiałach informacyjnych, w tym w formie elektronicznej. We wniosku, o którym mowa, wyborca podaje nazwisko, imię (imiona) oraz adres stałego zamieszkania.</w:t>
      </w:r>
    </w:p>
    <w:p w:rsidR="00203CFB" w:rsidRPr="00203CFB" w:rsidRDefault="00203CFB" w:rsidP="00203CFB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pl-PL"/>
        </w:rPr>
        <w:t>II.          Prawo do głosowania przez pełnomocnika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Prawo do głosowania za pośrednictwem pełnomocnika mają wyborcy, którzy najpóźniej w dniu głosowania ukończą 75 lat, a także wyborcy posiadający orzeczenie o znacznym lub umiarkowanym stopniu niepełnosprawności w rozumieniu ustawy z dnia 27 sierpnia 1997 r. o rehabilitacji zawodowej i społecznej oraz </w:t>
      </w: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lastRenderedPageBreak/>
        <w:t xml:space="preserve">zatrudnianiu osób niepełnosprawnych (Dz. U. z 2011 r. Nr 127, poz. 721, z </w:t>
      </w:r>
      <w:proofErr w:type="spellStart"/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. zm.), w tym również wyborcy posiadający orzeczenie organu rentowego o: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1)       całkowitej niezdolności do pracy, ustalone na podstawie art. 12 ust. 2, i niezdolności do samodzielnej egzystencji, ustalone na podstawie art. 13 ust. 5 ustawy z dnia 17 grudnia 1998 r. о emeryturach i rentach z Funduszu Ubezpieczeń Społecznych (Dz. U. z 2013 r. poz. 1440);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2)       niezdolności do samodzielnej egzystencji, ustalone na podstawie art. 13 ust. 5 ustawy wymienionej w pkt 1;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3)       całkowitej niezdolności do pracy, ustalone na podstawie art. 12 ust. 2 ustawy wymienionej w pkt 1;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4)       orzeczenie o zaliczeniu do I </w:t>
      </w:r>
      <w:proofErr w:type="spellStart"/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gruру</w:t>
      </w:r>
      <w:proofErr w:type="spellEnd"/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 inwalidów;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5)       orzeczenie o zaliczeniu do II grupy inwalidów;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a także osoby о stałej albo długotrwałej niezdolności do pracy w gospodarstwie rolnym, którym przysługuje zasiłek pielęgnacyjny.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pl-PL"/>
        </w:rPr>
        <w:t>Pełnomocnikiem może być</w:t>
      </w: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 osoba wpisana do rejestru wyborców w tej samej gminie, co udzielający pełnomocnictwa do głosowania lub posiadająca zaświadczenie o prawie do głosowania.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Pełnomocnikiem </w:t>
      </w:r>
      <w:r w:rsidRPr="00203CFB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pl-PL"/>
        </w:rPr>
        <w:t>nie może być</w:t>
      </w: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 osoba wchodząca w skład komisji obwodowej właściwej dla obwodu głosowania osoby udzielającej pełnomocnictwa do głosowania, a także mężowie zaufania, jak również kandydaci biorący udział w wyborach.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Pełnomocnictwo można przyjąć tylko od jednej osoby lub od dwóch osób, jeżeli co najmniej jedną z nich jest wstępny (ojciec, matka, dziadek, babka, itd.), zstępny (syn, córka, wnuk, wnuczka, itd.), małżonek, brat, siostra lub osoba pozostająca w stosunku przysposobienia, opieki lub kurateli w stosunku do pełnomocnika.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pl-PL"/>
        </w:rPr>
        <w:t>Pełnomocnictwa udziela się</w:t>
      </w: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 przed wójtem (burmistrzem, prezydentem miasta) lub przed innym pracownikiem urzędu gminy upoważnionym przez wójta (burmistrza, prezydenta miasta) do sporządzania aktów pełnomocnictwa do głosowania.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W celu sporządzenia aktu pełnomocnictwa wyborca </w:t>
      </w:r>
      <w:r w:rsidRPr="00203CFB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pl-PL"/>
        </w:rPr>
        <w:t>składa</w:t>
      </w: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 </w:t>
      </w:r>
      <w:r w:rsidRPr="00203CFB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pl-PL"/>
        </w:rPr>
        <w:t>wniosek</w:t>
      </w: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 do wójta (burmistrza, prezydenta miasta) gminy, w której jest wpisany do rejestru wyborców. Wniosek należy </w:t>
      </w:r>
      <w:r w:rsidRPr="00203CFB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pl-PL"/>
        </w:rPr>
        <w:t>złożyć najpóźniej w 9. dniu przed dniem wyborów, tj. do dnia 16 października 2015 r.</w:t>
      </w: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 </w:t>
      </w:r>
      <w:r w:rsidRPr="00203CFB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pl-PL"/>
        </w:rPr>
        <w:t xml:space="preserve">Wzór wniosku stanowi załącznik nr 1 </w:t>
      </w: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do rozporządzenia Ministra Spraw Wewnętrznych i Administracji z dnia 28 lipca 2011 r. w sprawie sporządzenia aktu pełnomocnictwa do 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 i z 2014 r. poz. 1428).</w:t>
      </w:r>
      <w:r w:rsidRPr="00203CFB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Do wniosku należy dołączyć:</w:t>
      </w:r>
    </w:p>
    <w:p w:rsidR="00203CFB" w:rsidRPr="00203CFB" w:rsidRDefault="00203CFB" w:rsidP="00203CFB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lastRenderedPageBreak/>
        <w:t xml:space="preserve">pisemną zgodę osoby mającej być pełnomocnikiem na przyjęcie pełnomocnictwa — </w:t>
      </w:r>
      <w:r w:rsidRPr="00203CFB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pl-PL"/>
        </w:rPr>
        <w:t xml:space="preserve">wzór zgody na przyjęcie pełnomocnictwa stanowi załącznik nr 5 </w:t>
      </w: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do rozporządzenia Ministra Spraw Wewnętrznych i Administracji;</w:t>
      </w:r>
    </w:p>
    <w:p w:rsidR="00203CFB" w:rsidRPr="00203CFB" w:rsidRDefault="00203CFB" w:rsidP="00203CFB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kopię aktualnego orzeczenia właściwego organu orzekającego o ustaleniu stopnia niepełnosprawności, </w:t>
      </w:r>
      <w:r w:rsidRPr="00203CFB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pl-PL"/>
        </w:rPr>
        <w:t>jeżeli wyborca udzielający pełnomocnictwa w dniu głosowania nie będzie miał ukończonych 75 lat</w:t>
      </w: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;</w:t>
      </w:r>
    </w:p>
    <w:p w:rsidR="00203CFB" w:rsidRPr="00203CFB" w:rsidRDefault="00203CFB" w:rsidP="00203CFB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kopię zaświadczenia o prawie do głosowania wydanego osobie mającej być pełnomocnikiem, </w:t>
      </w:r>
      <w:r w:rsidRPr="00203CFB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pl-PL"/>
        </w:rPr>
        <w:t>jeżeli osoba ta nie jest ujęta w rejestrze wyborców w tej samej gminie co udzielający pełnomocnictwa</w:t>
      </w: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.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Akt pełnomocnictwa jest sporządzany w miejscu zamieszkania wyborcy lub w innym miejscu na obszarze gminy, jeżeli wyborca zwróci się o to we wniosku o jego sporządzenie.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pl-PL"/>
        </w:rPr>
        <w:t>Wyborca ma prawo cofnięcia udzielonego pełnomocnictwa</w:t>
      </w: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. Cofnięcie pełnomocnictwa następuje przez złożenie najpóźniej na 2 dni przed dniem wyborów, tj. do dnia 23 października 2015 r., stosownego oświadczenia wójtowi (burmistrzowi, prezydentowi miasta) gminy, w której sporządzono akt pełnomocnictwa, lub przez doręczenie takiego oświadczenia właściwej obwodowej komisji wyborczej w dniu głosowania.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pl-PL"/>
        </w:rPr>
        <w:t>Wyborca, który udzielił pełnomocnictwa może głosować osobiście w lokalu wyborczym, jeżeli wcześniej nie oddał głosu pełnomocnik. Głosowanie osobiste przez wyborcę powoduje wygaśnięcie pełnomocnictwa.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Głosowania przez pełnomocnika nie przeprowadza się w: obwodach głosowania utworzonych w zakładach opieki zdrowotnej, domach pomocy społecznej, zakładach karnych i aresztach śledczych oraz domach studenckich, a także w obwodach głosowania utworzonych za granicą i na polskich statkach morskich.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Szczegółowe zasady w sprawie sporządzenia aktu pełnomocnictwa do głosowania określa powołane wyżej rozporządzenie Ministra Spraw Wewnętrznych i Administracji z dnia 28 lipca 2011 r. w sprawie sporządzenia aktu pełnomocnictwa do 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 i z 2014 r. poz. 1428).</w:t>
      </w:r>
    </w:p>
    <w:p w:rsidR="00203CFB" w:rsidRPr="00203CFB" w:rsidRDefault="00203CFB" w:rsidP="00203CFB">
      <w:pPr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pl-PL"/>
        </w:rPr>
        <w:t>III.       Głosowanie w lokalu wyborczym przy użyciu nakładki na kartę do głosowania sporządzonej w alfabecie Braille'a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Wyborca niepełnosprawny może głosować w lokalu wyborczym przy użyciu nakładek na karty do głosowania sporządzonych w alfabecie Braille'a.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W dniu wyborów obwodowa komisja wyborcza wraz z kartą do głosowania wyda wyborcy niepełnosprawnemu, na jego prośbę, nakładki na te karty. Po oddaniu głosu wyborca obowiązany jest zwrócić komisji obwodowej nakładki na karty.</w:t>
      </w:r>
    </w:p>
    <w:p w:rsidR="00203CFB" w:rsidRPr="00203CFB" w:rsidRDefault="00203CFB" w:rsidP="00203CFB">
      <w:pPr>
        <w:numPr>
          <w:ilvl w:val="0"/>
          <w:numId w:val="5"/>
        </w:num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pl-PL"/>
        </w:rPr>
        <w:t>IV.        Korzystanie z pomocy innej osoby w trakcie głosowania w lokalu wyborczym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lastRenderedPageBreak/>
        <w:t>Wyborcy niepełnosprawnemu, na jego prośbę, może pomagać w głosowaniu w lokalu wyborczym inna osoba, w tym także niepełnoletnia. Pomoc ta może mieć tylko techniczny charakter; nie może ona polegać na sugerowaniu wyborcy sposobu głosowania lub na głosowaniu w zastępstwie tego wyborcy. Dopuszczalne jest, aby na życzenie wyborcy niepełnosprawnego w pomieszczeniu za zasłoną przebywała osoba udzielająca pomocy. Osobą tą nie może być członek komisji ani mąż zaufania.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Natomiast komisja jest obowiązana, na prośbę wyborcy niepełnosprawnego, do przekazania ustnie treści </w:t>
      </w:r>
      <w:proofErr w:type="spellStart"/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obwieszczeń</w:t>
      </w:r>
      <w:proofErr w:type="spellEnd"/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 wyborczych w zakresie informacji o komitetach wyborczych biorących udział w wyborach oraz o zarejestrowanych listach kandydatów na posłów i kandydatach na senatora.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both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Ponadto wyborca niepełnosprawny może skorzystać z uprawnień przysługujących każdemu wyborcy, które ułatwiają wzięcie udziału w głosowaniu, takich jak głosowanie korespondencyjne, głosowanie w wybranym obwodzie głosowania, w tym obwodzie przystosowanym do potrzeb wyborców niepełnosprawnych, głosowanie na podstawie zaświadczenia o prawie do głosowania.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right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Zastępca Przewodniczącego</w:t>
      </w: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br/>
        <w:t>Państwowej Komisji Wyborczej</w:t>
      </w:r>
    </w:p>
    <w:p w:rsidR="00203CFB" w:rsidRPr="00203CFB" w:rsidRDefault="00203CFB" w:rsidP="00203CFB">
      <w:pPr>
        <w:spacing w:before="100" w:beforeAutospacing="1" w:after="100" w:afterAutospacing="1" w:line="330" w:lineRule="atLeast"/>
        <w:jc w:val="right"/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</w:pPr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(-) Wiesław </w:t>
      </w:r>
      <w:proofErr w:type="spellStart"/>
      <w:r w:rsidRPr="00203CFB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>Kozielewicz</w:t>
      </w:r>
      <w:proofErr w:type="spellEnd"/>
    </w:p>
    <w:p w:rsidR="00382272" w:rsidRDefault="00382272">
      <w:bookmarkStart w:id="0" w:name="_GoBack"/>
      <w:bookmarkEnd w:id="0"/>
    </w:p>
    <w:sectPr w:rsidR="0038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EC5"/>
    <w:multiLevelType w:val="multilevel"/>
    <w:tmpl w:val="B416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77B54"/>
    <w:multiLevelType w:val="multilevel"/>
    <w:tmpl w:val="4BD6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4382F"/>
    <w:multiLevelType w:val="multilevel"/>
    <w:tmpl w:val="3D50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C509F"/>
    <w:multiLevelType w:val="multilevel"/>
    <w:tmpl w:val="713A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6103B"/>
    <w:multiLevelType w:val="multilevel"/>
    <w:tmpl w:val="AAE6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FB"/>
    <w:rsid w:val="00203CFB"/>
    <w:rsid w:val="003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7626</Characters>
  <Application>Microsoft Office Word</Application>
  <DocSecurity>0</DocSecurity>
  <Lines>63</Lines>
  <Paragraphs>17</Paragraphs>
  <ScaleCrop>false</ScaleCrop>
  <Company>Microsoft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Kocjan</dc:creator>
  <cp:lastModifiedBy>Ewa Kocjan</cp:lastModifiedBy>
  <cp:revision>1</cp:revision>
  <dcterms:created xsi:type="dcterms:W3CDTF">2015-08-25T08:50:00Z</dcterms:created>
  <dcterms:modified xsi:type="dcterms:W3CDTF">2015-08-25T08:52:00Z</dcterms:modified>
</cp:coreProperties>
</file>